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65" w:rsidRDefault="00636B65" w:rsidP="00636B65">
      <w:pPr>
        <w:spacing w:after="0" w:line="240" w:lineRule="auto"/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</w:pP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​The aim of the poli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cy is to ensure that The Learning Institu</w:t>
      </w:r>
      <w:r w:rsidR="005B4B68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te (southwest) and </w:t>
      </w:r>
      <w:proofErr w:type="gramStart"/>
      <w:r w:rsidR="005B4B68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ARENA 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has</w:t>
      </w:r>
      <w:proofErr w:type="gramEnd"/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effective measures in place to safeguard your children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and vulnerable adults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from the potential risk of harm, and that the safety and well-being of the children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and vulnerable adults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are of the highest priorit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y in all aspects of our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work.</w:t>
      </w:r>
    </w:p>
    <w:p w:rsidR="00636B65" w:rsidRPr="00636B65" w:rsidRDefault="00636B65" w:rsidP="00636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br/>
        <w:t>Having the policy in place ensure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s that all members of our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community: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br/>
        <w:t>​</w:t>
      </w:r>
    </w:p>
    <w:p w:rsidR="00636B65" w:rsidRPr="00636B65" w:rsidRDefault="00636B65" w:rsidP="0063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</w:pP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Are aware of their responsibilities in relation to Safeguarding and Child</w:t>
      </w:r>
      <w:r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and Vulnerable Adult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Protection.</w:t>
      </w:r>
    </w:p>
    <w:p w:rsidR="00636B65" w:rsidRPr="00636B65" w:rsidRDefault="00636B65" w:rsidP="0063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</w:pP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Know the procedures that should be followed if they have a cause for concern.</w:t>
      </w:r>
    </w:p>
    <w:p w:rsidR="00636B65" w:rsidRPr="00636B65" w:rsidRDefault="00636B65" w:rsidP="0063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</w:pP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Know where to go to find additional information regarding safeguarding.</w:t>
      </w:r>
    </w:p>
    <w:p w:rsidR="00636B65" w:rsidRPr="00636B65" w:rsidRDefault="00636B65" w:rsidP="0063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</w:pP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Are aware of the key indicators relating to child</w:t>
      </w:r>
      <w:r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and vulnerable adult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abuse.</w:t>
      </w:r>
    </w:p>
    <w:p w:rsidR="00636B65" w:rsidRPr="00636B65" w:rsidRDefault="00636B65" w:rsidP="00636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</w:pPr>
      <w:r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Fully support our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commitment to Safeguarding and Child</w:t>
      </w:r>
      <w:r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and Vulnerable Adult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 xml:space="preserve"> Protection</w:t>
      </w:r>
      <w:proofErr w:type="gramStart"/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t>..</w:t>
      </w:r>
      <w:proofErr w:type="gramEnd"/>
    </w:p>
    <w:p w:rsidR="006C783B" w:rsidRDefault="00636B65" w:rsidP="00636B65">
      <w:r w:rsidRPr="00636B65">
        <w:rPr>
          <w:rFonts w:ascii="Open Sans" w:eastAsia="Times New Roman" w:hAnsi="Open Sans" w:cs="Times New Roman"/>
          <w:color w:val="515151"/>
          <w:sz w:val="24"/>
          <w:szCs w:val="24"/>
          <w:shd w:val="clear" w:color="auto" w:fill="FFFFFF"/>
          <w:lang w:eastAsia="en-GB"/>
        </w:rPr>
        <w:t> 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br/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Safeguarding is not just about protecting children 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and vulnerable adults </w:t>
      </w:r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from deli</w:t>
      </w:r>
      <w:r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berate harm. It presents T</w:t>
      </w:r>
      <w:r w:rsidR="005B4B68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>LI (Southwest) and ARENA</w:t>
      </w:r>
      <w:bookmarkStart w:id="0" w:name="_GoBack"/>
      <w:bookmarkEnd w:id="0"/>
      <w:r w:rsidRPr="00636B65">
        <w:rPr>
          <w:rFonts w:ascii="Open Sans" w:eastAsia="Times New Roman" w:hAnsi="Open Sans" w:cs="Times New Roman"/>
          <w:b/>
          <w:bCs/>
          <w:color w:val="515151"/>
          <w:sz w:val="24"/>
          <w:szCs w:val="24"/>
          <w:shd w:val="clear" w:color="auto" w:fill="FFFFFF"/>
          <w:lang w:eastAsia="en-GB"/>
        </w:rPr>
        <w:t xml:space="preserve"> with a wide range of issues that they need to be prepared for.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br/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shd w:val="clear" w:color="auto" w:fill="FFFFFF"/>
          <w:lang w:eastAsia="en-GB"/>
        </w:rPr>
        <w:t> 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br/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shd w:val="clear" w:color="auto" w:fill="FFFFFF"/>
          <w:lang w:eastAsia="en-GB"/>
        </w:rPr>
        <w:t xml:space="preserve">Sometimes we may need to share information and work in partnership with other agencies when there are </w:t>
      </w:r>
      <w:r>
        <w:rPr>
          <w:rFonts w:ascii="Open Sans" w:eastAsia="Times New Roman" w:hAnsi="Open Sans" w:cs="Times New Roman"/>
          <w:color w:val="515151"/>
          <w:sz w:val="24"/>
          <w:szCs w:val="24"/>
          <w:shd w:val="clear" w:color="auto" w:fill="FFFFFF"/>
          <w:lang w:eastAsia="en-GB"/>
        </w:rPr>
        <w:t xml:space="preserve">concerns. </w:t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br/>
      </w:r>
      <w:r w:rsidRPr="00636B65">
        <w:rPr>
          <w:rFonts w:ascii="Open Sans" w:eastAsia="Times New Roman" w:hAnsi="Open Sans" w:cs="Times New Roman"/>
          <w:color w:val="515151"/>
          <w:sz w:val="24"/>
          <w:szCs w:val="24"/>
          <w:lang w:eastAsia="en-GB"/>
        </w:rPr>
        <w:br/>
      </w:r>
      <w:r w:rsidRPr="00636B65">
        <w:rPr>
          <w:rFonts w:ascii="Open Sans" w:eastAsia="Times New Roman" w:hAnsi="Open Sans" w:cs="Times New Roman"/>
          <w:b/>
          <w:bCs/>
          <w:color w:val="A82E2E"/>
          <w:sz w:val="24"/>
          <w:szCs w:val="24"/>
          <w:shd w:val="clear" w:color="auto" w:fill="FFFFFF"/>
          <w:lang w:eastAsia="en-GB"/>
        </w:rPr>
        <w:t>If a child</w:t>
      </w:r>
      <w:r>
        <w:rPr>
          <w:rFonts w:ascii="Open Sans" w:eastAsia="Times New Roman" w:hAnsi="Open Sans" w:cs="Times New Roman"/>
          <w:b/>
          <w:bCs/>
          <w:color w:val="A82E2E"/>
          <w:sz w:val="24"/>
          <w:szCs w:val="24"/>
          <w:shd w:val="clear" w:color="auto" w:fill="FFFFFF"/>
          <w:lang w:eastAsia="en-GB"/>
        </w:rPr>
        <w:t xml:space="preserve"> or vulnerable adult</w:t>
      </w:r>
      <w:r w:rsidRPr="00636B65">
        <w:rPr>
          <w:rFonts w:ascii="Open Sans" w:eastAsia="Times New Roman" w:hAnsi="Open Sans" w:cs="Times New Roman"/>
          <w:b/>
          <w:bCs/>
          <w:color w:val="A82E2E"/>
          <w:sz w:val="24"/>
          <w:szCs w:val="24"/>
          <w:shd w:val="clear" w:color="auto" w:fill="FFFFFF"/>
          <w:lang w:eastAsia="en-GB"/>
        </w:rPr>
        <w:t xml:space="preserve"> is in imminent danger, then please dial 999 for the Police.</w:t>
      </w:r>
    </w:p>
    <w:p w:rsidR="009C7E39" w:rsidRDefault="009C7E39"/>
    <w:sectPr w:rsidR="009C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000"/>
    <w:multiLevelType w:val="multilevel"/>
    <w:tmpl w:val="46A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65"/>
    <w:rsid w:val="005B4B68"/>
    <w:rsid w:val="00636B65"/>
    <w:rsid w:val="006C783B"/>
    <w:rsid w:val="009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Mounter</dc:creator>
  <cp:lastModifiedBy>Joy Mounter</cp:lastModifiedBy>
  <cp:revision>3</cp:revision>
  <dcterms:created xsi:type="dcterms:W3CDTF">2019-09-02T09:18:00Z</dcterms:created>
  <dcterms:modified xsi:type="dcterms:W3CDTF">2019-09-02T14:28:00Z</dcterms:modified>
</cp:coreProperties>
</file>